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color w:val="e69138"/>
          <w:sz w:val="34"/>
          <w:szCs w:val="34"/>
        </w:rPr>
      </w:pPr>
      <w:bookmarkStart w:colFirst="0" w:colLast="0" w:name="_heading=h.gy4r8c48lvej" w:id="0"/>
      <w:bookmarkEnd w:id="0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Programme de formation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jc w:val="center"/>
        <w:rPr>
          <w:b w:val="1"/>
          <w:color w:val="e69138"/>
          <w:sz w:val="34"/>
          <w:szCs w:val="34"/>
        </w:rPr>
      </w:pPr>
      <w:bookmarkStart w:colFirst="0" w:colLast="0" w:name="_heading=h.eoralkpqjc2" w:id="1"/>
      <w:bookmarkEnd w:id="1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RS6702 – Développer son activité professionnelle grâce au marketing de contenus et aux réseaux sociaux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mhxlrp5fmfjc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eading=h.ig57lzmiljj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ivkx7hyejruq" w:id="4"/>
      <w:bookmarkEnd w:id="4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1. Prérequis</w:t>
      </w:r>
    </w:p>
    <w:p w:rsidR="00000000" w:rsidDel="00000000" w:rsidP="00000000" w:rsidRDefault="00000000" w:rsidRPr="00000000" w14:paraId="00000006">
      <w:pPr>
        <w:numPr>
          <w:ilvl w:val="0"/>
          <w:numId w:val="10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Projet de création ou de développement d’activité professionnelle.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Maîtrise du français écrit et oral.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Compétences numériques de base (utilisation d’Internet, bureautique).</w:t>
        <w:br w:type="textWrapping"/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hk2svf7o56zf" w:id="5"/>
      <w:bookmarkEnd w:id="5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2. Objectifs pédagogiques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Savoir élaborer une stratégie de marketing de contenus pertinente.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Créer et planifier des contenus adaptés à sa cible.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Utiliser efficacement les réseaux sociaux pour développer sa notoriété et son activité.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Déployer une communication cohérente sur différents canaux digitaux.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Mesurer l’impact de ses actions de communication digitale.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26rct12vsg0p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gmr6i17h404z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g0n9ui2qh419" w:id="8"/>
      <w:bookmarkEnd w:id="8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3. Compétences développées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Réaliser un diagnostic de son marché et de la concurrence.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Définir un positionnement et une identité visuelle.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Élaborer une stratégie éditoriale multicanale.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Créer, automatiser et diffuser du contenu attractif (textes, visuels, vidéos).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Utiliser les outils numériques adaptés (IA, logiciels de création, planification).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Générer et qualifier des prospects, mettre en place des tunnels de conversion.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Gérer une campagne publicitaire et d’influence sur les réseaux sociaux.</w:t>
        <w:br w:type="textWrapping"/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3iawi7x1v5pb" w:id="9"/>
      <w:bookmarkEnd w:id="9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4. Durée</w:t>
      </w:r>
    </w:p>
    <w:p w:rsidR="00000000" w:rsidDel="00000000" w:rsidP="00000000" w:rsidRDefault="00000000" w:rsidRPr="00000000" w14:paraId="0000001A">
      <w:pPr>
        <w:numPr>
          <w:ilvl w:val="0"/>
          <w:numId w:val="1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14 heures de formation.</w:t>
      </w:r>
    </w:p>
    <w:p w:rsidR="00000000" w:rsidDel="00000000" w:rsidP="00000000" w:rsidRDefault="00000000" w:rsidRPr="00000000" w14:paraId="0000001B">
      <w:pPr>
        <w:numPr>
          <w:ilvl w:val="0"/>
          <w:numId w:val="12"/>
        </w:numPr>
        <w:spacing w:after="24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Modalités : distanciel</w:t>
        <w:br w:type="textWrapping"/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fzuq054r3nua" w:id="10"/>
      <w:bookmarkEnd w:id="10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5. Délai d’accès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Entrée possible à tout moment (sessions mensuelles).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Délai d’accès : 15 jours ouvrés après validation de la candidature.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Inscription via formulaire en ligne, contact mail ou téléphone.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Entretien de positionnement obligatoire (téléphonique ou visio).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8c38dfbhjudg" w:id="11"/>
      <w:bookmarkEnd w:id="11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6. Tarifs</w:t>
      </w:r>
    </w:p>
    <w:p w:rsidR="00000000" w:rsidDel="00000000" w:rsidP="00000000" w:rsidRDefault="00000000" w:rsidRPr="00000000" w14:paraId="00000022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2 000 € TTC </w:t>
      </w:r>
    </w:p>
    <w:p w:rsidR="00000000" w:rsidDel="00000000" w:rsidP="00000000" w:rsidRDefault="00000000" w:rsidRPr="00000000" w14:paraId="00000023">
      <w:pPr>
        <w:numPr>
          <w:ilvl w:val="0"/>
          <w:numId w:val="11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modalités de paiement: Autofinancement ou cpf </w:t>
        <w:br w:type="textWrapping"/>
        <w:br w:type="textWrapping"/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d13ifk8f1ris" w:id="12"/>
      <w:bookmarkEnd w:id="12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7. Méthodes et moyens pédagogiques / Outils mobilisés</w:t>
      </w:r>
    </w:p>
    <w:p w:rsidR="00000000" w:rsidDel="00000000" w:rsidP="00000000" w:rsidRDefault="00000000" w:rsidRPr="00000000" w14:paraId="00000025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Apports théoriques illustrés par des exemples concrets.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Mises en pratique guidées (création de posts, planification).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Travaux individuels (adaptés au projet de chaque stagiaire).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Études de cas réels.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Quiz interactifs et auto-évaluation.</w:t>
        <w:br w:type="textWrapping"/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5i6ljgf46uyz" w:id="13"/>
      <w:bookmarkEnd w:id="13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8. Modalités d’évaluation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Évaluation continue via mises en situation pendant la formation.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Évaluation finale : remise et présentation orale d’une stratégie de contenu personnalisée.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240" w:lineRule="auto"/>
        <w:ind w:left="720" w:hanging="360"/>
      </w:pPr>
      <w:r w:rsidDel="00000000" w:rsidR="00000000" w:rsidRPr="00000000">
        <w:rPr>
          <w:rtl w:val="0"/>
        </w:rPr>
        <w:t xml:space="preserve">Validation de la certification RS6702 si les critères du référentiel sont atteints.</w:t>
        <w:br w:type="textWrapping"/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nge9xodsmgbz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98ymhyein3f7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rhit2o72074s" w:id="16"/>
      <w:bookmarkEnd w:id="16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9. Accessibilité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Formation accessible aux personnes en situation de handicap.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Adaptation des supports et des modalités selon les besoins.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spacing w:after="24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Référent handicap : Ben Abdelhadi Soufiane. proforma.contact@yahoo.com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color w:val="e69138"/>
          <w:sz w:val="34"/>
          <w:szCs w:val="34"/>
        </w:rPr>
      </w:pPr>
      <w:bookmarkStart w:colFirst="0" w:colLast="0" w:name="_heading=h.2x8yuyqvv9kg" w:id="17"/>
      <w:bookmarkEnd w:id="17"/>
      <w:r w:rsidDel="00000000" w:rsidR="00000000" w:rsidRPr="00000000">
        <w:rPr>
          <w:b w:val="1"/>
          <w:color w:val="e69138"/>
          <w:sz w:val="34"/>
          <w:szCs w:val="34"/>
          <w:rtl w:val="0"/>
        </w:rPr>
        <w:t xml:space="preserve">10. Déroulé de la formation</w:t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heading=h.sxrup1iqjc1t" w:id="18"/>
      <w:bookmarkEnd w:id="1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Jour 1 : Comprendre et concevoir une stratégie de contenus efficace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Identifier ses objectifs marketing et sa cible.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Définir son positionnement professionnel sur le web.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Notions clés du marketing de contenu (inbound marketing, storytelling…).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Les types de contenus : texte, image, vidéo, infographie, podcast.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Élaborer un calendrier éditorial simple et adapté à sa stratégie.</w:t>
        <w:br w:type="textWrapping"/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color w:val="000000"/>
          <w:sz w:val="22"/>
          <w:szCs w:val="22"/>
        </w:rPr>
      </w:pPr>
      <w:bookmarkStart w:colFirst="0" w:colLast="0" w:name="_heading=h.jyjyybavnrsv" w:id="19"/>
      <w:bookmarkEnd w:id="1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Jour 2 : Créer et diffuser efficacement sur les réseaux sociaux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Panorama des réseaux sociaux (LinkedIn, Facebook, Instagram, TikTok, YouTube…).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Choisir les bons canaux selon son audience.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Bonnes pratiques pour publier : formats, fréquence, engagement.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Introduction aux outils de planification (Meta Business Suite, Canva, Buffer…).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Analyse des performances : indicateurs de base (portée, engagement, clics…).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eading=h.d49mmyj38eeh" w:id="20"/>
      <w:bookmarkEnd w:id="2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Informations complémentaires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spacing w:after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Date d’échéance RS6702</w:t>
      </w:r>
      <w:r w:rsidDel="00000000" w:rsidR="00000000" w:rsidRPr="00000000">
        <w:rPr>
          <w:rtl w:val="0"/>
        </w:rPr>
        <w:t xml:space="preserve"> : 19 juillet 2026 (dernière délivrance : 19 janvier 2027)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Certificateur</w:t>
      </w:r>
      <w:r w:rsidDel="00000000" w:rsidR="00000000" w:rsidRPr="00000000">
        <w:rPr>
          <w:rtl w:val="0"/>
        </w:rPr>
        <w:t xml:space="preserve"> : MASSENA GROUP (Les Instapreneurs) –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Lien vers le certificateur sur France Compétences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Débouchés</w:t>
      </w:r>
      <w:r w:rsidDel="00000000" w:rsidR="00000000" w:rsidRPr="00000000">
        <w:rPr>
          <w:rtl w:val="0"/>
        </w:rPr>
        <w:t xml:space="preserve"> : Consultant(e) marketing digital indépendant, freelance, community manager, chef de projet communication digitale, porteur de projet digital.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9"/>
        </w:numPr>
        <w:spacing w:after="0" w:before="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Aptitudes visées</w:t>
      </w:r>
      <w:r w:rsidDel="00000000" w:rsidR="00000000" w:rsidRPr="00000000">
        <w:rPr>
          <w:rtl w:val="0"/>
        </w:rPr>
        <w:t xml:space="preserve"> : Autonomie stratégique, créativité, pilotage de l’activité numérique, gestion et conversion d’audience, veille et adaptation digitale.</w:t>
        <w:br w:type="textWrapping"/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center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Pro Forma</w:t>
    </w:r>
  </w:p>
  <w:p w:rsidR="00000000" w:rsidDel="00000000" w:rsidP="00000000" w:rsidRDefault="00000000" w:rsidRPr="00000000" w14:paraId="00000051">
    <w:pPr>
      <w:jc w:val="center"/>
      <w:rPr>
        <w:sz w:val="10"/>
        <w:szCs w:val="1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jc w:val="center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6 B RUE DU BAS VILLAGE, 35510 CESSON-SEVIGNE</w:t>
    </w:r>
  </w:p>
  <w:p w:rsidR="00000000" w:rsidDel="00000000" w:rsidP="00000000" w:rsidRDefault="00000000" w:rsidRPr="00000000" w14:paraId="00000053">
    <w:pPr>
      <w:jc w:val="center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Siret: 90038394400015 Siren: 900383944</w:t>
    </w:r>
  </w:p>
  <w:p w:rsidR="00000000" w:rsidDel="00000000" w:rsidP="00000000" w:rsidRDefault="00000000" w:rsidRPr="00000000" w14:paraId="00000054">
    <w:pPr>
      <w:jc w:val="center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NDA : 53351103735 Cet Enregistrement ne vaut pas agrément de l’état,</w:t>
    </w:r>
  </w:p>
  <w:p w:rsidR="00000000" w:rsidDel="00000000" w:rsidP="00000000" w:rsidRDefault="00000000" w:rsidRPr="00000000" w14:paraId="00000055">
    <w:pPr>
      <w:jc w:val="center"/>
      <w:rPr>
        <w:sz w:val="10"/>
        <w:szCs w:val="10"/>
      </w:rPr>
    </w:pPr>
    <w:r w:rsidDel="00000000" w:rsidR="00000000" w:rsidRPr="00000000">
      <w:rPr>
        <w:sz w:val="10"/>
        <w:szCs w:val="10"/>
        <w:rtl w:val="0"/>
      </w:rPr>
      <w:t xml:space="preserve">Document mis à jour le V1 31/07/2025</w:t>
    </w:r>
  </w:p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>
        <w:b w:val="1"/>
      </w:rPr>
    </w:pPr>
    <w:r w:rsidDel="00000000" w:rsidR="00000000" w:rsidRPr="00000000">
      <w:rPr>
        <w:b w:val="1"/>
        <w:rtl w:val="0"/>
      </w:rPr>
      <w:t xml:space="preserve">Pro Forma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-49623</wp:posOffset>
          </wp:positionV>
          <wp:extent cx="1590675" cy="9620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67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  <w:t xml:space="preserve">6 B RUE DU BAS VILLAGE, 35510 CESSON-SEVIGNE</w:t>
    </w:r>
  </w:p>
  <w:p w:rsidR="00000000" w:rsidDel="00000000" w:rsidP="00000000" w:rsidRDefault="00000000" w:rsidRPr="00000000" w14:paraId="0000004A">
    <w:pPr>
      <w:rPr/>
    </w:pPr>
    <w:r w:rsidDel="00000000" w:rsidR="00000000" w:rsidRPr="00000000">
      <w:rPr>
        <w:b w:val="1"/>
        <w:rtl w:val="0"/>
      </w:rPr>
      <w:t xml:space="preserve">Siret</w:t>
    </w:r>
    <w:r w:rsidDel="00000000" w:rsidR="00000000" w:rsidRPr="00000000">
      <w:rPr>
        <w:rtl w:val="0"/>
      </w:rPr>
      <w:t xml:space="preserve">: 90038394400015 </w:t>
    </w:r>
    <w:r w:rsidDel="00000000" w:rsidR="00000000" w:rsidRPr="00000000">
      <w:rPr>
        <w:b w:val="1"/>
        <w:rtl w:val="0"/>
      </w:rPr>
      <w:t xml:space="preserve">Siren</w:t>
    </w:r>
    <w:r w:rsidDel="00000000" w:rsidR="00000000" w:rsidRPr="00000000">
      <w:rPr>
        <w:rtl w:val="0"/>
      </w:rPr>
      <w:t xml:space="preserve">: 900383944</w:t>
    </w:r>
  </w:p>
  <w:p w:rsidR="00000000" w:rsidDel="00000000" w:rsidP="00000000" w:rsidRDefault="00000000" w:rsidRPr="00000000" w14:paraId="0000004B">
    <w:pPr>
      <w:rPr/>
    </w:pPr>
    <w:r w:rsidDel="00000000" w:rsidR="00000000" w:rsidRPr="00000000">
      <w:rPr>
        <w:rtl w:val="0"/>
      </w:rPr>
      <w:t xml:space="preserve">Mail: proforma.contact@yahoo.com</w:t>
    </w:r>
  </w:p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  <w:t xml:space="preserve">Président, Référent pédagogique, administratif,</w:t>
    </w:r>
  </w:p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  <w:t xml:space="preserve">handicap, formateur, Service médiation et</w:t>
    </w:r>
  </w:p>
  <w:p w:rsidR="00000000" w:rsidDel="00000000" w:rsidP="00000000" w:rsidRDefault="00000000" w:rsidRPr="00000000" w14:paraId="0000004E">
    <w:pPr>
      <w:rPr>
        <w:b w:val="1"/>
      </w:rPr>
    </w:pPr>
    <w:r w:rsidDel="00000000" w:rsidR="00000000" w:rsidRPr="00000000">
      <w:rPr>
        <w:rtl w:val="0"/>
      </w:rPr>
      <w:t xml:space="preserve">réclamation: </w:t>
    </w:r>
    <w:r w:rsidDel="00000000" w:rsidR="00000000" w:rsidRPr="00000000">
      <w:rPr>
        <w:b w:val="1"/>
        <w:rtl w:val="0"/>
      </w:rPr>
      <w:t xml:space="preserve">Ben Abdelhadi Soufiane</w:t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rancecompetences.fr/recherche/rs/6702/" TargetMode="External"/><Relationship Id="rId8" Type="http://schemas.openxmlformats.org/officeDocument/2006/relationships/hyperlink" Target="https://www.francecompetences.fr/recherche/rs/6702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Q4LmLXuShpIc2ZI/h7O0aT+IYw==">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